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2D3209" w:rsidRPr="002D3209">
        <w:rPr>
          <w:rFonts w:ascii="Times New Roman" w:hAnsi="Times New Roman"/>
        </w:rPr>
        <w:t>UA-2022-11-17-001888-a</w:t>
      </w:r>
      <w:r>
        <w:rPr>
          <w:rFonts w:ascii="Times New Roman" w:hAnsi="Times New Roman"/>
          <w:lang w:val="uk-UA"/>
        </w:rPr>
        <w:t>.</w:t>
      </w:r>
    </w:p>
    <w:p w:rsidR="005C66A1" w:rsidRDefault="005C66A1" w:rsidP="005C66A1">
      <w:pPr>
        <w:jc w:val="center"/>
        <w:rPr>
          <w:rFonts w:ascii="Times New Roman" w:hAnsi="Times New Roman"/>
        </w:rPr>
      </w:pPr>
    </w:p>
    <w:p w:rsid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2D3209" w:rsidRPr="002D3209">
        <w:rPr>
          <w:rFonts w:ascii="Times New Roman" w:hAnsi="Times New Roman"/>
          <w:lang w:val="uk-UA"/>
        </w:rPr>
        <w:t xml:space="preserve">код ДК 021:2015 33600000-6 - Фармацевтична продукція – (Allopurinol /АЛОПУРИНОЛ(код ДК 021:2015-33620000-2 Лікарські засоби для лікування захворювань крові, органів кровотворення та захворювань серцево-судинної системи),Ammonia/АМІАКУ (код ДК 021:2015-33692000-7 Медичні розчини), Metamizole sodium/АНАЛЬГІН-ДАРНИЦЯ(код ДК 021:2015-33661200-3 - Анальгетичні засоби),Articaine, combinations/АРТИФРИН(код ДК 021:2015-33692500-2 Розчини для ін'єкцій), Ascorbic acid (vit C)/АСКОРБІНОВА (код ДК 021:2015-33616000-1 Вітаміни), Magnesium (different salts in combination)АСПАРКАМ ( код ДК 021:2015-3622000-6 Лікарські засоби для лікування захворювань серцево-судинної системи), Oxybuprocaine/БЕНОКСІ (код ДК 021:2015-33662000-8 Лікарські засоби для лікування захворювань органів чуття), Bisoprolol/БІСОПРОЛОЛ(код ДК 021:2015-33620000-2 Лікарські засоби для лікування захворювань крові, органів кровотворення та захворювань серцево-судинної системи), Validol/ВАЛІДОЛ(код ДК 021:2015- 33620000-2 Лікарські засоби для лікування захворювань серцево-судинної системи), Verapamil/ВЕРАПАМІЛ (код ДК 021:2015- 33620000-2 Лікарські засоби для лікування захворювань серцево-судинної системи), Betahistine/ВЕСТІНОРМ®.(код ДК 021:2015-33661700-8 — Інші лікарські засоби для лікування хвороб нервової системи), Vinpocetine/ВІНПОЦЕТИН (код ДК 021:2015-33660000-4 - Лікарські засоби для лікування хвороб нервової системи та захворювань органів чуття), Medicinal charcoal/ВУГІЛЛЯ АКТИВОВАНЕ (код ДК 021:20105-33612000-3 — Лікарські засоби для лікування функціональних розладів шлунково-кишкового тракту), Comb drug/ГЕПАБЕНЕ (код ДК 021:2015-33610000-9 — Лікарські засоби для лікування захворювань шлунково-кишкового тракту та розладів обміну речовин), Bendazol/ДИБАЗОЛ(код ДК 021:2015-33660000-4 - Лікарські засоби для лікування хвороб нервової системи та захворювань органів чуття), Diclofenac/ДИКЛОФЕНАК-(код ДК 021:2015-33632000-9 Лікарські засоби для лікування захворювань опорно-рухового апарату), Dimethyl sulfoxide/ДИМЕКСИД(код ДК 021:2015-33630000-5 - Лікарські засоби для лікування дерматологічних захворювань та захворювань опорно-рухового апарату), Thioctic acid/ДІАЛІПОН® (код ДК 021:2015-33615000-4 Протидіабетичні лікарські засоби), Drotaverine/ДРОТАВЕРИН(код ДК 021:2015-33610000-9 - Лікарські засоби для лікування захворювань шлунково-кишкового тракту та розладів обміну речовин), Enalapril/ЕНАЛОЗИД® (код ДК 021:2015-33622000-6 Лікарські засоби для лікування захворювань серцево-судинної системи), Theophylline/ЕУФІЛІН-(код ДК 021:2015-33670000-7 Лікарські засоби для лікування хвороб дихальної системи), Calcium gluconate/КАЛЬЦІЮ ГЛЮКОНАТ СТАБІЛІЗОВАНИЙ (код ДК 021:2015-33692500-2 Розчини для ін'єкцій), Calcium chloride/КАЛЬЦІЮ ХЛОРИД(код ДК 021:2015-33692500-2 Розчини для ін'єкцій), Captopril and diuretics/КАПТОПРЕС(код ДК 021:2015-33622000-6 Лікарські засоби для лікування захворювань серцево-судинної системи),Acetylsalicylic acid/КАРДІОМАГНІЛ(код ДК 021:2015-33622000-6 Лікарські засоби для лікування захворювань серцево-судинної системи), Ambroxol/ЛАЗОЛВАН(код ДК 021:2015-33673000-8 - Лікарські засоби для лікування обструктивних захворювань дихальних шляхів), Ambroxol/ЛАЗОЛЕКС(код ДК 201:2015-33673000-8 - Лікарські засоби для лікування обструктивних захворювань дихальних шляхів), Comb rug/ЛЕВОМЕКОЛЬ (код </w:t>
      </w:r>
      <w:r w:rsidR="002D3209" w:rsidRPr="002D3209">
        <w:rPr>
          <w:rFonts w:ascii="Times New Roman" w:hAnsi="Times New Roman"/>
          <w:lang w:val="uk-UA"/>
        </w:rPr>
        <w:lastRenderedPageBreak/>
        <w:t>ДК 021:2015-33630000-5 - Лікарські засоби для лікування дерматологічних захворювань та захворювань опорно-рухового апарату), Lidocaine/ЛІДОКАЇН(код ДК 021:2015-33661100-2 Анестетичні засоби),Lisinopril/ЛІЗИНОПРИЛ(код ДК 021:2015-33622000-6 Лікарські засоби для лікування захворювань серцево-судинної системи), Comb drug/БАЛЬЗАМІЧНИЙ ЛІНІМЕНТ (ЗА ВИШНЕВСЬКИМ) (код ДК 021:2015-33630000-5 - Лікарські засоби для лікування дерматологічних захворювань та захворювань опорно-рухового апарату), Comb drug/ЛЮГОЛЯ РОЗЧИН( код ДК 021:2015-33692000-7 Медичні розчини), Sodium chloride/НАТРІЮ ХЛОРИД ( код ДК 021:2015-33692500-2 Розчини для ін'єкцій), Nicotinic acid/НІКОТИНОВА КИСЛОТА(код ДК 021:2015-33616000-1 – Вітаміни), Omeprazole/ОМЕПРАЗОЛ(код ДК 021:2015-33610000-9 - Лікарські засоби для лікування захворювань шлунково-кишкового тракту та розладів обміну речовин), Comb drug/ОФЛОКАЇН( код ДК 021:2015- 33630000-5 - Лікарські засоби для лікування дерматологічних захворювань та захворювань опорно-рухового апарату),Papaverine/ПАПАВЕРИН (код ДК 021:2015-33690000-3 - Лікарські засоби різні), Pentoxifylline/ПЕНТОКСИФІЛІН(код ДК 021:2015-33660000-4 - Лікарські засоби для лікування хвороб нервової системи та захворювань органів чуття),Pregabalin/ПРЕГАБАЛІН(код ДК 021:2015-33661300-4 - Протиепілептичні засоби), Neostigmine/ПРОЗЕРИН(код ДК 021:2015-33690000-3 - Лікарські засоби різні),Budesonide/ПУЛЬМІКОРТ(код ДК 021:2015-33670000-7 Лікарські засоби для лікування хвороб дихальної системи), Inosine/РИБОКСИН(код ДК 021:2015-33620000-2 - Лікарські засоби для лікування захворювань крові, органів кровотворення та захворювань серцево-судинної системи), Senna glycosides/СЕНАДЕКСИН(код ДК 021:2015-33610000-9 - Лікарські засоби для лікування захворювань шлунково-кишкового тракту та розладів обміну речовин), Silymarin/СИЛІБОР (код ДК 021:2015-33610000-9 - Лікарські засоби для лікування захворювань шлунково-кишкового тракту та розладів обміну речовин), Tiazotic acid*/ТІОТРИАЗОЛІН ( код ДК 021:2015-33622100-7 Кардіологічні лікарські засоби), Trimetazidine/ТРИДУКТАН МВ (код ДК 021:2015-33622100-7 Кардіологічні лікарські засоби),Famotidine/ФАМОТИДИН(код ДК 021:2015-33610000-9 - Лікарські засоби для лікування захворювань шлунково-кишкового тракту та розладів обміну речовин), Ketoprofen/ФАСТУМ ГЕЛЬ( код ДК 021:2015-33630000-5 - Лікарські засоби для лікування дерматологічних захворювань та захворювань опорно-рухового апарату), Nitrofural/ФУРАЦИЛІН®. (код ДК 021:2015-33631600-8 Антисептичні та дезінфекційні засоби), Chlorophyllipt*/ХЛОРОФІЛІПТ( код ДК 021:2015-33631600-8 Антисептичні та дезінфекційні засоби))</w:t>
      </w:r>
      <w:r w:rsidRPr="005C66A1">
        <w:rPr>
          <w:rFonts w:ascii="Times New Roman" w:hAnsi="Times New Roman"/>
          <w:lang w:val="uk-UA"/>
        </w:rPr>
        <w:t>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:rsidR="005C66A1" w:rsidRP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D80666">
        <w:rPr>
          <w:rFonts w:ascii="Times New Roman" w:hAnsi="Times New Roman"/>
          <w:lang w:val="uk-UA"/>
        </w:rPr>
        <w:t xml:space="preserve">. </w:t>
      </w: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засоби. Юридичні підстави ведення та використання реєстру: 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відпускних цін на лікарські засоби і вироби медичного призначення, порядок внесення до нього змін та форм декларації зміни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</w:p>
    <w:sectPr w:rsidR="005C66A1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6A1"/>
    <w:rsid w:val="002C444B"/>
    <w:rsid w:val="002D3209"/>
    <w:rsid w:val="005C66A1"/>
    <w:rsid w:val="00877131"/>
    <w:rsid w:val="00995921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4F1DA00-0EE0-42FB-9CA4-C391381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6818</Characters>
  <Application>Microsoft Office Word</Application>
  <DocSecurity>4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word</cp:lastModifiedBy>
  <cp:revision>2</cp:revision>
  <cp:lastPrinted>2022-11-18T08:31:00Z</cp:lastPrinted>
  <dcterms:created xsi:type="dcterms:W3CDTF">2022-11-18T09:07:00Z</dcterms:created>
  <dcterms:modified xsi:type="dcterms:W3CDTF">2022-11-18T09:07:00Z</dcterms:modified>
</cp:coreProperties>
</file>