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63" w:rsidRPr="00033A63" w:rsidRDefault="00033A63" w:rsidP="0003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033A63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 електроенцефалографічний комп’ютерний»</w:t>
            </w:r>
          </w:p>
          <w:p w:rsidR="00D60B91" w:rsidRDefault="00033A63" w:rsidP="0003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63">
              <w:rPr>
                <w:rFonts w:ascii="Times New Roman" w:eastAsia="Times New Roman" w:hAnsi="Times New Roman" w:cs="Times New Roman"/>
                <w:sz w:val="20"/>
                <w:szCs w:val="20"/>
              </w:rPr>
              <w:t>(«Єдиний закупівельний словник» код ДК 021:2015: 33120000-7 — Системи реєстрації медичної інформації та дослідне обладнання, код ДК 021:2015 33121100-5 - Електроенцефалографи, НК 024:2023: 11467 — Електроенцефалограф)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033A63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  <w:r w:rsid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Pr="00CB3D8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03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63">
              <w:rPr>
                <w:rFonts w:ascii="Times New Roman" w:eastAsia="Times New Roman" w:hAnsi="Times New Roman" w:cs="Times New Roman"/>
                <w:sz w:val="20"/>
                <w:szCs w:val="20"/>
              </w:rPr>
              <w:t>UA-2023-08-09-003279-a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753.</w:t>
            </w:r>
          </w:p>
          <w:p w:rsidR="002D4107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AA0431" w:rsidRDefault="002D4107" w:rsidP="002D4107">
      <w:pPr>
        <w:spacing w:after="0"/>
      </w:pPr>
      <w:r>
        <w:t xml:space="preserve">                                                            </w:t>
      </w: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</w:t>
      </w:r>
    </w:p>
    <w:p w:rsidR="00033A63" w:rsidRPr="00033A63" w:rsidRDefault="00033A63" w:rsidP="00033A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Комплекс електроенцефалографічний комп’ютерний </w:t>
      </w:r>
    </w:p>
    <w:p w:rsidR="00033A63" w:rsidRPr="00033A63" w:rsidRDefault="00033A63" w:rsidP="00033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33A63" w:rsidRPr="00033A63" w:rsidRDefault="00033A63" w:rsidP="00033A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Програмне забезпечення: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lang w:eastAsia="en-US"/>
        </w:rPr>
        <w:t>Реєстрація до 16 каналів ЕЕГ у системі "10-20" та одного ЕКГ каналу.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Збереження досліджень у повному обсязі, що дозволяє змінювати налаштування відображення та фільтрації, незалежно від того, які фільтри були встановлені під час реєстрації.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Запис може проводитись за допомогою шолома з вбудованими електродами.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аналізу ЕЕГ із застосуванням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монтажів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різного типу, як під час реєстрації, так і після неї. Відведення іменуються за стандартним набором системи "10-10" та можуть мати довільні псевдоніми.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Доступне створення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монополярних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, біполярних та комбінованих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монтажів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користувача. 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проведення обстеження за протоколом, що містить набір функціональних проб. Налаштування автоматизації переходів між ними, або виконання у ручному режимі, довільному порядку, повторами проб за потребою. 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Проведення звукової та світлової стимуляції, з можливістю вибору частоти стимуляції і зміни параметрів стимулу (інтенсивність, тон і тривалість звукового стимулу).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Можливість додавати маркери подій з довільними коментарями з подальшою швидкою навігацією.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Виділення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артефактних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ділянок під час реєстрації та перегляду ЕЕГ.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Реалізація стиснення по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Прайор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моніторного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контролю функцій мозку.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Перегляд ЕЕГ та його спектру у стислому вигляді з можливістю позиціонування.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Перегляд графіків щільності потужності за частотними діапазонами ЕЕГ з відображенням домінуючого відведення та можливістю позиціонування.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Можливість відкриття з бази даних декількох обстежень обраного пацієнта з застосуванням інструментів порівняння.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en-US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перегляду будь-якого відведення в збільшеному масштабі, з вимірюванням амплітудно-часових параметрів, побудовою карт і графіків СЩП ділянки, що переглядається. Аналіз компонентів ЕЕГ в режимі накладання вибраних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відведень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en-US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Можливість налаштування інтерфейсу під специфіку діяльності з угрупуванням і закріпленням необхідних елементів аналізу ЕЕГ в загальному вікні програми (чи додаткових).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міняти швидкість стрічки в межах від 4 до 120 мм/с та зміни посилення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енцефалографічних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каналів незалежно від ЕКГ сигналу. Доступна зміна сітки значень посилення за європейським (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мкВ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>/см) та американським (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мкВ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>/7 мм) стандартами.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en-US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Доступне застосування комбінацій ФНЧ та ФВЧ з наборів або довільна фільтрація в межах від 0 до 75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Гц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. Застосування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режекторних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мережевих фільтрів.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en-US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Можлива фільтрація за ритмами для відображення активності в діапазонах </w:t>
      </w:r>
      <w:r w:rsidRPr="00033A63">
        <w:rPr>
          <w:rFonts w:ascii="Symbol" w:eastAsia="Symbol" w:hAnsi="Symbol" w:cs="Symbol"/>
          <w:bCs/>
          <w:iCs/>
          <w:color w:val="000000"/>
          <w:sz w:val="24"/>
          <w:lang w:eastAsia="zh-CN"/>
        </w:rPr>
        <w:t></w:t>
      </w:r>
      <w:r w:rsidRPr="00033A63">
        <w:rPr>
          <w:rFonts w:ascii="Times New Roman" w:hAnsi="Times New Roman" w:cs="Times New Roman"/>
          <w:bCs/>
          <w:iCs/>
          <w:color w:val="000000"/>
          <w:sz w:val="24"/>
          <w:lang w:eastAsia="zh-CN"/>
        </w:rPr>
        <w:t xml:space="preserve">, </w:t>
      </w:r>
      <w:r w:rsidRPr="00033A63">
        <w:rPr>
          <w:rFonts w:ascii="Symbol" w:eastAsia="Symbol" w:hAnsi="Symbol" w:cs="Symbol"/>
          <w:bCs/>
          <w:iCs/>
          <w:color w:val="000000"/>
          <w:sz w:val="24"/>
          <w:lang w:eastAsia="zh-CN"/>
        </w:rPr>
        <w:t></w:t>
      </w:r>
      <w:r w:rsidRPr="00033A63">
        <w:rPr>
          <w:rFonts w:ascii="Times New Roman" w:hAnsi="Times New Roman" w:cs="Times New Roman"/>
          <w:bCs/>
          <w:iCs/>
          <w:color w:val="000000"/>
          <w:sz w:val="24"/>
          <w:lang w:eastAsia="zh-CN"/>
        </w:rPr>
        <w:t xml:space="preserve">, </w:t>
      </w:r>
      <w:r w:rsidRPr="00033A63">
        <w:rPr>
          <w:rFonts w:ascii="Symbol" w:eastAsia="Symbol" w:hAnsi="Symbol" w:cs="Symbol"/>
          <w:bCs/>
          <w:iCs/>
          <w:color w:val="000000"/>
          <w:sz w:val="24"/>
          <w:lang w:eastAsia="zh-CN"/>
        </w:rPr>
        <w:t></w:t>
      </w:r>
      <w:r w:rsidRPr="00033A63">
        <w:rPr>
          <w:rFonts w:ascii="Times New Roman" w:hAnsi="Times New Roman" w:cs="Times New Roman"/>
          <w:bCs/>
          <w:iCs/>
          <w:color w:val="000000"/>
          <w:sz w:val="24"/>
          <w:lang w:eastAsia="zh-CN"/>
        </w:rPr>
        <w:t xml:space="preserve">, </w:t>
      </w:r>
      <w:r w:rsidRPr="00033A63">
        <w:rPr>
          <w:rFonts w:ascii="Symbol" w:eastAsia="Symbol" w:hAnsi="Symbol" w:cs="Symbol"/>
          <w:bCs/>
          <w:iCs/>
          <w:color w:val="000000"/>
          <w:sz w:val="24"/>
          <w:lang w:eastAsia="zh-CN"/>
        </w:rPr>
        <w:t></w:t>
      </w:r>
      <w:r w:rsidRPr="00033A63">
        <w:rPr>
          <w:rFonts w:ascii="Times New Roman" w:hAnsi="Times New Roman" w:cs="Times New Roman"/>
          <w:bCs/>
          <w:iCs/>
          <w:color w:val="000000"/>
          <w:sz w:val="24"/>
          <w:lang w:eastAsia="zh-CN"/>
        </w:rPr>
        <w:t xml:space="preserve"> </w:t>
      </w: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та їх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піддіапазонах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>. Створення списку допоміжних діапазонів з їх довільним іменуванням.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Проведення спектрального аналізу будь-якої ділянки ЕЕГ (або всього запису), з представленням результатів у вигляді: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en-US"/>
        </w:rPr>
        <w:t>двомірного та 3-х мірного картування (з проекціями карти на кору мозку або на скальп) частотних діапазонів, окремих частот, та окремих реалізацій;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en-US"/>
        </w:rPr>
        <w:t>картування співвідношень частотних діапазонів (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en-US"/>
        </w:rPr>
        <w:t>канонограм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графіків спектральної щільності потужності (СЩП), усередненої за обраною ділянкою аналізу та усіх реалізацій обраної ділянки аналізу;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en-US"/>
        </w:rPr>
        <w:t xml:space="preserve">секторних діаграм; 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en-US"/>
        </w:rPr>
        <w:t xml:space="preserve">схем домінування ритмів за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en-US"/>
        </w:rPr>
        <w:t>відведеннями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en-US"/>
        </w:rPr>
        <w:t>гістограм законів розподілу амплітуд хвиль по півкулях і по кожному відведенню окремо;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en-US"/>
        </w:rPr>
        <w:t xml:space="preserve">статистичного аналізу: середньої потужності, середньої частоти та дисперсії СЩП, для кожного з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en-US"/>
        </w:rPr>
        <w:t>відведень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en-US"/>
        </w:rPr>
        <w:t xml:space="preserve"> і по півкулях з розрахунками асиметрії;</w:t>
      </w:r>
    </w:p>
    <w:p w:rsidR="00033A63" w:rsidRPr="00033A63" w:rsidRDefault="00033A63" w:rsidP="00033A6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4"/>
          <w:lang w:val="ru-RU" w:eastAsia="zh-CN"/>
        </w:rPr>
      </w:pPr>
      <w:proofErr w:type="spellStart"/>
      <w:r w:rsidRPr="00033A63">
        <w:rPr>
          <w:rFonts w:ascii="Times New Roman" w:hAnsi="Times New Roman" w:cs="Times New Roman"/>
          <w:sz w:val="24"/>
          <w:szCs w:val="24"/>
          <w:lang w:eastAsia="en-US"/>
        </w:rPr>
        <w:t>скаттерограм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en-US"/>
        </w:rPr>
        <w:t xml:space="preserve"> ймовірності розподілу значень пар параметрів: медіанна частота/потужність, максимальна частота/потужність, по всій поверхні голови та по півкулях.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en-US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Опція вибору функції спектрального аналізу: через дискретне перетворення Фур'є або за допомогою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Wavelet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>-аналізу; типу вікон та інших глибоких налаштувань.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Проведення когерентного аналізу довільної ділянки, або всього запису.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Проведення авто- та крос-кореляційного аналізу ЕЕГ з побудовою графіків, таблиці та картуванням кореляційних коефіцієнтів.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Локалізація джерела патологічної активності за допомогою ймовірнісних 3- х мірних томограм.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Аналіз варіабельності серцевого ритму (ВСР).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en-US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Автоматизоване формування висновку за шаблоном або в режимі "Питання-Відповідь". Автоматичний опис ЕЕГ.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друку будь-якого фрагменту сигналу разом з висновком або будь-якими елементами спектрального аналізу ЕЕГ. 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Експорт сигналу у формати EDF, таблицю Microsoft Excel. Збереження стрічки досліджень у PDF.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Імпорт сигналу з форматів EDF,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Biomedika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Galileo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33A63">
        <w:rPr>
          <w:rFonts w:ascii="Times New Roman" w:hAnsi="Times New Roman" w:cs="Times New Roman"/>
          <w:sz w:val="24"/>
          <w:szCs w:val="24"/>
          <w:lang w:eastAsia="zh-CN"/>
        </w:rPr>
        <w:t>Planet</w:t>
      </w:r>
      <w:proofErr w:type="spellEnd"/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 200.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 xml:space="preserve">Формування бази даних необмеженого об’єму, з можливістю запису архівних копій на зовнішні носії, створення статистичних звітів за будь-який час, синхронізацією досліджень пацієнтів між існуючими базами даних, пошуком та сортуванням пацієнтів. 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Збереження досліджень у базу даних, що може бути єдиною для кількох діагностичних комплексів, таких як: ЕМГ, ЕКГ, ЕЕГ та РГ.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Можливості пошуку та сортування в базі даних, синхронізації досліджень пацієнтів з кількох баз даних.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lang w:val="ru-RU"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Формування звітів статистики роботи із системою за довільний період часу.</w:t>
      </w:r>
    </w:p>
    <w:p w:rsidR="00033A63" w:rsidRPr="00033A63" w:rsidRDefault="00033A63" w:rsidP="00033A6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33A63">
        <w:rPr>
          <w:rFonts w:ascii="Times New Roman" w:hAnsi="Times New Roman" w:cs="Times New Roman"/>
          <w:sz w:val="24"/>
          <w:szCs w:val="24"/>
          <w:lang w:eastAsia="zh-CN"/>
        </w:rPr>
        <w:t>Регулярна автоматична і ручна перевірка наявності нових версій програми та оновлення. Можлива відстрочка, чи відключення автоматичного оновлення.</w:t>
      </w:r>
    </w:p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33A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</w:t>
      </w:r>
    </w:p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33A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Вимоги:</w:t>
      </w:r>
    </w:p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zh-CN"/>
        </w:rPr>
      </w:pPr>
    </w:p>
    <w:p w:rsidR="00033A63" w:rsidRPr="00033A63" w:rsidRDefault="00033A63" w:rsidP="00033A63">
      <w:pPr>
        <w:tabs>
          <w:tab w:val="left" w:pos="0"/>
          <w:tab w:val="left" w:pos="1215"/>
        </w:tabs>
        <w:suppressAutoHyphens/>
        <w:spacing w:after="0" w:line="240" w:lineRule="auto"/>
        <w:ind w:right="-2"/>
        <w:jc w:val="both"/>
        <w:rPr>
          <w:rFonts w:ascii="Pragmatica" w:eastAsia="Times New Roman" w:hAnsi="Pragmatica" w:cs="Pragmatica"/>
          <w:sz w:val="20"/>
          <w:szCs w:val="20"/>
          <w:lang w:val="ru-RU" w:eastAsia="zh-CN"/>
        </w:rPr>
      </w:pPr>
      <w:r w:rsidRPr="00033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Апаратне забезпечення:</w:t>
      </w:r>
    </w:p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zh-CN"/>
        </w:rPr>
      </w:pP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45"/>
        <w:gridCol w:w="2268"/>
        <w:gridCol w:w="2693"/>
      </w:tblGrid>
      <w:tr w:rsidR="00033A63" w:rsidRPr="00033A63" w:rsidTr="0004284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3" w:rsidRPr="00033A63" w:rsidRDefault="00033A63" w:rsidP="00033A6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A63">
              <w:rPr>
                <w:rFonts w:ascii="Times New Roman" w:eastAsia="Times New Roman" w:hAnsi="Times New Roman" w:cs="Times New Roman"/>
                <w:b/>
              </w:rPr>
              <w:t>Найменування параметру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3" w:rsidRPr="00033A63" w:rsidRDefault="00033A63" w:rsidP="00033A6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A63">
              <w:rPr>
                <w:rFonts w:ascii="Times New Roman" w:eastAsia="Times New Roman" w:hAnsi="Times New Roman" w:cs="Times New Roman"/>
                <w:b/>
              </w:rPr>
              <w:t>Вимога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3" w:rsidRPr="00033A63" w:rsidRDefault="00033A63" w:rsidP="00033A6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Так/Ні, з посиланням на сторінку інструкції</w:t>
            </w: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каналів ЕЕГ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каналів ЕКГ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Діапазон реєстрації вхідного сигналу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2000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rPr>
          <w:trHeight w:val="6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Arial"/>
                <w:sz w:val="24"/>
                <w:szCs w:val="20"/>
                <w:lang w:eastAsia="zh-CN"/>
              </w:rPr>
              <w:t xml:space="preserve">Границі відносної похибки вимірювання напруги по ЕЕГ каналам в діапазоні вхідних сигналів від 30 до 1200 </w:t>
            </w:r>
            <w:proofErr w:type="spellStart"/>
            <w:r w:rsidRPr="00033A63">
              <w:rPr>
                <w:rFonts w:ascii="Times New Roman" w:eastAsia="Times New Roman" w:hAnsi="Times New Roman" w:cs="Arial"/>
                <w:sz w:val="24"/>
                <w:szCs w:val="20"/>
                <w:lang w:eastAsia="zh-CN"/>
              </w:rPr>
              <w:t>мкВ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10 %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Вхідний імпеданс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100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Напруга внутрішніх шумів комплексів, наведена до входу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більше 2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Амплітуда калібрувального сигналу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± 5 %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 калібрування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Коефіцієнт взаємовпливу між каналами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- 36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Коефіцієнт послаблення синфазного сигналу на частоті 50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100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квантування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400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Гц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Постійна часу (задається програмно</w:t>
            </w: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0.1, 0.3, 0.7, 1.0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Нерівномірність амплітудно-частотної характеристики по відношенню до сигналу на частоті 4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33A63" w:rsidRPr="00033A63" w:rsidRDefault="00033A63" w:rsidP="00033A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діапазоні частот від 0,5 до 1,0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  <w:p w:rsidR="00033A63" w:rsidRPr="00033A63" w:rsidRDefault="00033A63" w:rsidP="00033A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діапазоні частот від 1,0 до 25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діапазоні частот від 25 до 75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</w:p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 -30 до 5 % </w:t>
            </w:r>
          </w:p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-10 до 10 % </w:t>
            </w:r>
          </w:p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-30 до 5 %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Переключення НЧ та ВЧ фільтрів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Зв’язок із комп’ютером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 інтерфейс USB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 електробезпеки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II, тип BF згідно </w:t>
            </w: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ДСТУ EN 60601-1:2015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7, 8, 8.1, 10,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A63" w:rsidRPr="00033A63" w:rsidTr="0004284A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використання у портативному варіанті (перенесення до місця знаходження пацієнта)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Pragmatica" w:eastAsia="Times New Roman" w:hAnsi="Pragmatica" w:cs="Pragmatica"/>
          <w:sz w:val="20"/>
          <w:szCs w:val="20"/>
          <w:lang w:val="ru-RU" w:eastAsia="zh-CN"/>
        </w:rPr>
      </w:pPr>
      <w:r w:rsidRPr="00033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Комплект поставки:</w:t>
      </w:r>
    </w:p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zh-CN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4673"/>
        <w:gridCol w:w="2268"/>
        <w:gridCol w:w="2693"/>
      </w:tblGrid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lastRenderedPageBreak/>
              <w:t>Найменування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33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Так/Ні, з посиланням на сторінку інструкції</w:t>
            </w:r>
          </w:p>
        </w:tc>
      </w:tr>
      <w:tr w:rsidR="00033A63" w:rsidRPr="00033A63" w:rsidTr="0004284A"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33A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Складові частини виробу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4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Підсилювач ЕЕГ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4"/>
                <w:szCs w:val="24"/>
                <w:lang w:val="ru-RU" w:eastAsia="zh-CN"/>
              </w:rPr>
            </w:pP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Фотофоностимулятор</w:t>
            </w:r>
            <w:proofErr w:type="spellEnd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(ФФС)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4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розв’язки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4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кріплення підсилювача ЕЕГ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4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Штанга для кріплення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фотофоностимулятора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4"/>
                <w:szCs w:val="24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Стійка для кріплення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фотофоностимулятора</w:t>
            </w:r>
            <w:proofErr w:type="spellEnd"/>
            <w:r w:rsidRPr="0003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підсилювача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USB-флеш накопичувач із програмним забезпеченням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3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Вироби з обмеженим ресурсом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Електрод ЕЕГ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18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Електрод вушний із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кліпсою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ЕКГ електрод «прищіпка»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Кабель ЕКГ без заземлюючого електроду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Шолом ЕЕГ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Об’єднувач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однополярних</w:t>
            </w:r>
            <w:proofErr w:type="spellEnd"/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гнізд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1 шт.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rPr>
          <w:trHeight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Кабель заземлення, 5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rPr>
          <w:trHeight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33A63">
              <w:rPr>
                <w:rFonts w:ascii="Pragmatica" w:eastAsia="Times New Roman" w:hAnsi="Pragmatica" w:cs="Pragmatica"/>
                <w:sz w:val="24"/>
                <w:szCs w:val="24"/>
                <w:lang w:eastAsia="zh-CN"/>
              </w:rPr>
              <w:t>Тримач електродів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33A63">
              <w:rPr>
                <w:rFonts w:ascii="Pragmatica" w:eastAsia="Times New Roman" w:hAnsi="Pragmatica" w:cs="Pragmatica"/>
                <w:sz w:val="24"/>
                <w:szCs w:val="24"/>
                <w:lang w:eastAsia="zh-CN"/>
              </w:rPr>
              <w:t xml:space="preserve">2 </w:t>
            </w:r>
            <w:r w:rsidRPr="00033A63">
              <w:rPr>
                <w:rFonts w:ascii="Pragmatica" w:eastAsia="Times New Roman" w:hAnsi="Pragmatica" w:cs="Pragmatica"/>
                <w:bCs/>
                <w:i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rPr>
          <w:trHeight w:val="310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Експлуатаційна документація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3A63" w:rsidRPr="00033A63" w:rsidTr="0004284A">
        <w:trPr>
          <w:trHeight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Документація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Pragmatica" w:eastAsia="Times New Roman" w:hAnsi="Pragmatica" w:cs="Pragmatica"/>
                <w:sz w:val="20"/>
                <w:szCs w:val="20"/>
                <w:lang w:val="ru-RU" w:eastAsia="zh-CN"/>
              </w:rPr>
            </w:pPr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компл</w:t>
            </w:r>
            <w:proofErr w:type="spellEnd"/>
            <w:r w:rsidRPr="00033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63" w:rsidRPr="00033A63" w:rsidRDefault="00033A63" w:rsidP="00033A63">
            <w:pPr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033A63" w:rsidRPr="00033A63" w:rsidRDefault="00033A63" w:rsidP="00033A63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033A63" w:rsidRPr="00033A63" w:rsidRDefault="00033A63" w:rsidP="00033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3A63" w:rsidRPr="00033A63" w:rsidRDefault="00033A63" w:rsidP="00033A63">
      <w:pPr>
        <w:widowControl w:val="0"/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Примітка:</w:t>
      </w:r>
    </w:p>
    <w:p w:rsidR="00033A63" w:rsidRPr="00033A63" w:rsidRDefault="00033A63" w:rsidP="00033A63">
      <w:pPr>
        <w:widowControl w:val="0"/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i/>
          <w:sz w:val="24"/>
          <w:szCs w:val="24"/>
          <w:lang w:eastAsia="zh-CN"/>
        </w:rPr>
      </w:pPr>
      <w:r w:rsidRPr="00033A6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Всі посилання на торговельну марку, фірму, патент, конструкцію або тип предмета закупівлі, джерело його походження а</w:t>
      </w:r>
      <w:r w:rsidRPr="00033A63">
        <w:rPr>
          <w:rFonts w:ascii="Times New Roman" w:eastAsia="Times New Roman" w:hAnsi="Times New Roman" w:cs="Times New Roman CYR"/>
          <w:i/>
          <w:sz w:val="24"/>
          <w:szCs w:val="24"/>
          <w:lang w:eastAsia="zh-CN"/>
        </w:rPr>
        <w:t>бо виробника слід читати як «або еквівалент».</w:t>
      </w:r>
    </w:p>
    <w:p w:rsidR="00AA0431" w:rsidRPr="00033A63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sectPr w:rsidR="00AA043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2" w15:restartNumberingAfterBreak="0">
    <w:nsid w:val="1375313B"/>
    <w:multiLevelType w:val="hybridMultilevel"/>
    <w:tmpl w:val="CD8CFB4E"/>
    <w:lvl w:ilvl="0" w:tplc="76A406A6">
      <w:start w:val="1"/>
      <w:numFmt w:val="decimal"/>
      <w:lvlText w:val="%1."/>
      <w:lvlJc w:val="left"/>
      <w:pPr>
        <w:ind w:left="777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52F5CA8"/>
    <w:multiLevelType w:val="hybridMultilevel"/>
    <w:tmpl w:val="982E95FC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33A63"/>
    <w:rsid w:val="0017349F"/>
    <w:rsid w:val="00291A86"/>
    <w:rsid w:val="002D4107"/>
    <w:rsid w:val="003D40B4"/>
    <w:rsid w:val="006942A8"/>
    <w:rsid w:val="00771C09"/>
    <w:rsid w:val="0082426D"/>
    <w:rsid w:val="008534F3"/>
    <w:rsid w:val="00AA0431"/>
    <w:rsid w:val="00AE49A5"/>
    <w:rsid w:val="00CB3D8B"/>
    <w:rsid w:val="00D401FC"/>
    <w:rsid w:val="00D60B91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E305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2023-08-09T08:27:00Z</dcterms:created>
  <dcterms:modified xsi:type="dcterms:W3CDTF">2023-08-09T08:27:00Z</dcterms:modified>
</cp:coreProperties>
</file>